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SJNA Design Technology Long-term Map Cycle C and Cycle D</w:t>
      </w:r>
    </w:p>
    <w:tbl>
      <w:tblPr>
        <w:tblStyle w:val="Table1"/>
        <w:tblW w:w="15613.999999999996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.5467690410806"/>
        <w:gridCol w:w="1950.5467690410806"/>
        <w:gridCol w:w="1951.421846102113"/>
        <w:gridCol w:w="1952.2969231631453"/>
        <w:gridCol w:w="1952.2969231631453"/>
        <w:gridCol w:w="1952.2969231631453"/>
        <w:gridCol w:w="1952.2969231631453"/>
        <w:gridCol w:w="1952.2969231631453"/>
        <w:tblGridChange w:id="0">
          <w:tblGrid>
            <w:gridCol w:w="1950.5467690410806"/>
            <w:gridCol w:w="1950.5467690410806"/>
            <w:gridCol w:w="1951.421846102113"/>
            <w:gridCol w:w="1952.2969231631453"/>
            <w:gridCol w:w="1952.2969231631453"/>
            <w:gridCol w:w="1952.2969231631453"/>
            <w:gridCol w:w="1952.2969231631453"/>
            <w:gridCol w:w="1952.2969231631453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shd w:fill="76923c" w:val="clear"/>
          </w:tcPr>
          <w:p w:rsidR="00000000" w:rsidDel="00000000" w:rsidP="00000000" w:rsidRDefault="00000000" w:rsidRPr="00000000" w14:paraId="00000002">
            <w:pPr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6923c" w:val="clear"/>
          </w:tcPr>
          <w:p w:rsidR="00000000" w:rsidDel="00000000" w:rsidP="00000000" w:rsidRDefault="00000000" w:rsidRPr="00000000" w14:paraId="00000003">
            <w:pPr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6923c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AUTUMN 1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6923c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AUTUMN 2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6923c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6923c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SPRING 2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6923c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6923c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gridSpan w:val="2"/>
            <w:vMerge w:val="restart"/>
            <w:shd w:fill="76923c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St Francis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YR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                 Focus - Cooking and Nutrition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Focus - Junk Modelling (Fire engines) 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Focus - Textiles - Book Marks 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2"/>
            <w:vMerge w:val="continue"/>
            <w:shd w:fill="76923c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vMerge w:val="restart"/>
            <w:shd w:fill="76923c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St Vincent de Paul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Y1/2</w:t>
            </w:r>
          </w:p>
        </w:tc>
        <w:tc>
          <w:tcPr>
            <w:shd w:fill="76923c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Cycle C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Mechanisms: Making a moving story book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Structures: Baby Bear’s Chair</w:t>
            </w:r>
          </w:p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(link to Great Fire of London)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Food: Balanced Diet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continue"/>
            <w:shd w:fill="76923c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6923c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Cycle D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Mechanism: Making a moving monster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Textiles:  Pouches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Mechanisms - Wheels and Axles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vMerge w:val="restart"/>
            <w:shd w:fill="76923c" w:val="clear"/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St Teresa of Calcutta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Y3/4</w:t>
            </w:r>
          </w:p>
        </w:tc>
        <w:tc>
          <w:tcPr>
            <w:shd w:fill="76923c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Cycle C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Digital World: Mindful Moments Timer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Textiles: Egyptian Collars 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(Cross stitch or Applique)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Eating Seasonally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vMerge w:val="continue"/>
            <w:shd w:fill="76923c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6923c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Cycle D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Structures: Helmets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Electrical Systems: torches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Mechanical systems: Making a Slingshot Car</w:t>
            </w:r>
          </w:p>
        </w:tc>
      </w:tr>
      <w:tr>
        <w:trPr>
          <w:cantSplit w:val="0"/>
          <w:trHeight w:val="937.5" w:hRule="atLeast"/>
          <w:tblHeader w:val="0"/>
        </w:trPr>
        <w:tc>
          <w:tcPr>
            <w:vMerge w:val="restart"/>
            <w:shd w:fill="76923c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St Oscar Romero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Y5/6</w:t>
            </w:r>
          </w:p>
        </w:tc>
        <w:tc>
          <w:tcPr>
            <w:shd w:fill="76923c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Cycle C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Electrical Systems: Steady Hand Game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Structures: Bridges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Come dine with me</w:t>
            </w:r>
          </w:p>
        </w:tc>
      </w:tr>
      <w:tr>
        <w:trPr>
          <w:cantSplit w:val="0"/>
          <w:trHeight w:val="937.5" w:hRule="atLeast"/>
          <w:tblHeader w:val="0"/>
        </w:trPr>
        <w:tc>
          <w:tcPr>
            <w:vMerge w:val="continue"/>
            <w:shd w:fill="76923c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6923c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Cycle D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Digital World: Monitoring Devices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Textiles: Stuffed  Toys or Waistcoats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Mechanical Systems: Gears and Pulleys</w:t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pgSz w:h="11907" w:w="16839" w:orient="landscape"/>
      <w:pgMar w:bottom="72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ndara" w:cs="Candara" w:eastAsia="Candara" w:hAnsi="Candara"/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2B0D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F34C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O9pFkRT36HN8hgLHynkZbFZNqw==">CgMxLjA4AHIhMWpLWkJTYnkwZkZGamdwQW5BNEpSZm9OSm1wQmxacno4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2021-07-07T15:46:00Z</dcterms:created>
  <dc:creator>Emma Wilson</dc:creator>
</cp:coreProperties>
</file>